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78" w:rsidRDefault="00375278" w:rsidP="00375278">
      <w:pPr>
        <w:jc w:val="center"/>
        <w:rPr>
          <w:rFonts w:asciiTheme="minorHAnsi" w:hAnsiTheme="minorHAnsi" w:cstheme="minorHAnsi"/>
          <w:b/>
          <w:sz w:val="40"/>
          <w:szCs w:val="21"/>
        </w:rPr>
      </w:pPr>
    </w:p>
    <w:p w:rsidR="00375278" w:rsidRDefault="00375278" w:rsidP="00375278">
      <w:pPr>
        <w:jc w:val="center"/>
        <w:rPr>
          <w:rFonts w:asciiTheme="minorHAnsi" w:hAnsiTheme="minorHAnsi" w:cstheme="minorHAnsi"/>
          <w:b/>
          <w:sz w:val="40"/>
          <w:szCs w:val="21"/>
        </w:rPr>
      </w:pPr>
    </w:p>
    <w:p w:rsidR="00375278" w:rsidRPr="00375278" w:rsidRDefault="00375278" w:rsidP="00375278">
      <w:pPr>
        <w:jc w:val="center"/>
        <w:rPr>
          <w:rFonts w:asciiTheme="minorHAnsi" w:hAnsiTheme="minorHAnsi" w:cstheme="minorHAnsi"/>
          <w:b/>
          <w:sz w:val="40"/>
          <w:szCs w:val="21"/>
        </w:rPr>
      </w:pPr>
      <w:r w:rsidRPr="00375278">
        <w:rPr>
          <w:rFonts w:asciiTheme="minorHAnsi" w:hAnsiTheme="minorHAnsi" w:cstheme="minorHAnsi"/>
          <w:b/>
          <w:sz w:val="40"/>
          <w:szCs w:val="21"/>
        </w:rPr>
        <w:t>Arbeitszonenerweiterung</w:t>
      </w:r>
    </w:p>
    <w:p w:rsidR="00375278" w:rsidRPr="00375278" w:rsidRDefault="00375278" w:rsidP="00375278">
      <w:pPr>
        <w:jc w:val="center"/>
        <w:rPr>
          <w:rFonts w:asciiTheme="minorHAnsi" w:hAnsiTheme="minorHAnsi" w:cstheme="minorHAnsi"/>
          <w:b/>
          <w:sz w:val="40"/>
          <w:szCs w:val="21"/>
        </w:rPr>
      </w:pPr>
      <w:r w:rsidRPr="00375278">
        <w:rPr>
          <w:rFonts w:asciiTheme="minorHAnsi" w:hAnsiTheme="minorHAnsi" w:cstheme="minorHAnsi"/>
          <w:b/>
          <w:sz w:val="40"/>
          <w:szCs w:val="21"/>
        </w:rPr>
        <w:t>Sandblatte</w:t>
      </w:r>
    </w:p>
    <w:p w:rsidR="00375278" w:rsidRDefault="00375278" w:rsidP="00375278">
      <w:pPr>
        <w:rPr>
          <w:rFonts w:asciiTheme="minorHAnsi" w:hAnsiTheme="minorHAnsi" w:cstheme="minorHAnsi"/>
          <w:b/>
          <w:sz w:val="12"/>
          <w:szCs w:val="12"/>
        </w:rPr>
      </w:pPr>
    </w:p>
    <w:p w:rsidR="00375278" w:rsidRDefault="00375278" w:rsidP="00375278">
      <w:pPr>
        <w:rPr>
          <w:rFonts w:asciiTheme="minorHAnsi" w:hAnsiTheme="minorHAnsi" w:cstheme="minorHAnsi"/>
          <w:b/>
          <w:sz w:val="12"/>
          <w:szCs w:val="12"/>
        </w:rPr>
      </w:pPr>
    </w:p>
    <w:p w:rsidR="00375278" w:rsidRPr="009F27CE" w:rsidRDefault="00375278" w:rsidP="00375278">
      <w:pPr>
        <w:rPr>
          <w:rFonts w:asciiTheme="minorHAnsi" w:hAnsiTheme="minorHAnsi" w:cstheme="minorHAnsi"/>
          <w:b/>
          <w:sz w:val="12"/>
          <w:szCs w:val="12"/>
        </w:rPr>
      </w:pPr>
      <w:bookmarkStart w:id="0" w:name="_GoBack"/>
      <w:bookmarkEnd w:id="0"/>
    </w:p>
    <w:p w:rsidR="00375278" w:rsidRDefault="00375278" w:rsidP="00375278">
      <w:pPr>
        <w:jc w:val="center"/>
        <w:rPr>
          <w:rFonts w:asciiTheme="minorHAnsi" w:hAnsiTheme="minorHAnsi" w:cstheme="minorHAnsi"/>
          <w:b/>
          <w:sz w:val="24"/>
          <w:szCs w:val="21"/>
        </w:rPr>
      </w:pPr>
      <w:r w:rsidRPr="00575400">
        <w:rPr>
          <w:rFonts w:asciiTheme="minorHAnsi" w:hAnsiTheme="minorHAnsi" w:cstheme="minorHAnsi"/>
          <w:b/>
          <w:noProof/>
          <w:sz w:val="24"/>
          <w:szCs w:val="21"/>
          <w:lang w:val="de-CH" w:eastAsia="de-CH"/>
        </w:rPr>
        <w:drawing>
          <wp:inline distT="0" distB="0" distL="0" distR="0" wp14:anchorId="0F930299" wp14:editId="15D76B2C">
            <wp:extent cx="3240000" cy="240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78" w:rsidRPr="00A26DA7" w:rsidRDefault="00375278" w:rsidP="00375278">
      <w:pPr>
        <w:rPr>
          <w:rFonts w:asciiTheme="minorHAnsi" w:hAnsiTheme="minorHAnsi" w:cstheme="minorHAnsi"/>
          <w:b/>
          <w:szCs w:val="21"/>
        </w:rPr>
      </w:pPr>
    </w:p>
    <w:p w:rsidR="00375278" w:rsidRPr="00375278" w:rsidRDefault="00375278" w:rsidP="00375278">
      <w:pPr>
        <w:spacing w:after="120"/>
        <w:jc w:val="center"/>
        <w:rPr>
          <w:rFonts w:asciiTheme="minorHAnsi" w:hAnsiTheme="minorHAnsi" w:cstheme="minorHAnsi"/>
          <w:b/>
          <w:sz w:val="28"/>
          <w:szCs w:val="21"/>
        </w:rPr>
      </w:pPr>
      <w:r w:rsidRPr="00375278">
        <w:rPr>
          <w:rFonts w:asciiTheme="minorHAnsi" w:hAnsiTheme="minorHAnsi" w:cstheme="minorHAnsi"/>
          <w:b/>
          <w:sz w:val="28"/>
          <w:szCs w:val="21"/>
        </w:rPr>
        <w:t>Öffentliche Mitwirkung</w:t>
      </w: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Pr="00EC6775" w:rsidRDefault="00375278" w:rsidP="00375278">
      <w:pPr>
        <w:rPr>
          <w:rFonts w:asciiTheme="minorHAnsi" w:hAnsiTheme="minorHAnsi" w:cstheme="minorHAnsi"/>
          <w:sz w:val="21"/>
          <w:szCs w:val="21"/>
        </w:rPr>
      </w:pPr>
      <w:r w:rsidRPr="00EC6775">
        <w:rPr>
          <w:rFonts w:asciiTheme="minorHAnsi" w:hAnsiTheme="minorHAnsi" w:cstheme="minorHAnsi"/>
          <w:sz w:val="21"/>
          <w:szCs w:val="21"/>
        </w:rPr>
        <w:t xml:space="preserve">Der Gemeinderat stellt die folgenden Planungsinstrumente zur Diskussion: </w:t>
      </w:r>
    </w:p>
    <w:p w:rsidR="00375278" w:rsidRPr="009F27CE" w:rsidRDefault="00375278" w:rsidP="00375278">
      <w:pPr>
        <w:rPr>
          <w:rFonts w:asciiTheme="minorHAnsi" w:hAnsiTheme="minorHAnsi" w:cstheme="minorHAnsi"/>
          <w:sz w:val="12"/>
          <w:szCs w:val="12"/>
        </w:rPr>
      </w:pPr>
    </w:p>
    <w:p w:rsidR="00375278" w:rsidRPr="00575400" w:rsidRDefault="00375278" w:rsidP="00375278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Änderung Zonenplan</w:t>
      </w:r>
    </w:p>
    <w:p w:rsidR="00375278" w:rsidRPr="00575400" w:rsidRDefault="00375278" w:rsidP="00375278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>Planungsbericht</w:t>
      </w:r>
    </w:p>
    <w:p w:rsidR="00375278" w:rsidRPr="00575400" w:rsidRDefault="00375278" w:rsidP="00375278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 xml:space="preserve">Bebauungskonzept </w:t>
      </w:r>
    </w:p>
    <w:p w:rsidR="00375278" w:rsidRPr="00575400" w:rsidRDefault="00375278" w:rsidP="00375278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>Kurzbericht Erhebung Fruchtfolgeflächen</w:t>
      </w:r>
    </w:p>
    <w:p w:rsidR="00375278" w:rsidRPr="00575400" w:rsidRDefault="00375278" w:rsidP="00375278">
      <w:pPr>
        <w:pStyle w:val="Listenabsatz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>Kompensation Fruchtfolgeflächen</w:t>
      </w:r>
    </w:p>
    <w:p w:rsidR="00375278" w:rsidRPr="00575400" w:rsidRDefault="00375278" w:rsidP="00375278">
      <w:pPr>
        <w:pStyle w:val="Listenabsatz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lang w:val="de-DE"/>
        </w:rPr>
        <w:t>Situation Höhenbeschränkung</w:t>
      </w:r>
    </w:p>
    <w:p w:rsidR="00375278" w:rsidRDefault="00375278" w:rsidP="00375278">
      <w:pPr>
        <w:ind w:left="284"/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  <w:r w:rsidRPr="00EC6775">
        <w:rPr>
          <w:rFonts w:asciiTheme="minorHAnsi" w:hAnsiTheme="minorHAnsi" w:cstheme="minorHAnsi"/>
          <w:sz w:val="21"/>
          <w:szCs w:val="21"/>
        </w:rPr>
        <w:t>Dauer</w:t>
      </w:r>
      <w:r>
        <w:rPr>
          <w:rFonts w:asciiTheme="minorHAnsi" w:hAnsiTheme="minorHAnsi" w:cstheme="minorHAnsi"/>
          <w:sz w:val="21"/>
          <w:szCs w:val="21"/>
        </w:rPr>
        <w:t xml:space="preserve"> der Mitwirkung: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16</w:t>
      </w:r>
      <w:r w:rsidRPr="00EC6775">
        <w:rPr>
          <w:rFonts w:asciiTheme="minorHAnsi" w:hAnsiTheme="minorHAnsi" w:cstheme="minorHAnsi"/>
          <w:sz w:val="21"/>
          <w:szCs w:val="21"/>
        </w:rPr>
        <w:t xml:space="preserve">. September – </w:t>
      </w:r>
      <w:r>
        <w:rPr>
          <w:rFonts w:asciiTheme="minorHAnsi" w:hAnsiTheme="minorHAnsi" w:cstheme="minorHAnsi"/>
          <w:sz w:val="21"/>
          <w:szCs w:val="21"/>
        </w:rPr>
        <w:t>15.</w:t>
      </w:r>
      <w:r w:rsidRPr="00EC6775">
        <w:rPr>
          <w:rFonts w:asciiTheme="minorHAnsi" w:hAnsiTheme="minorHAnsi" w:cstheme="minorHAnsi"/>
          <w:sz w:val="21"/>
          <w:szCs w:val="21"/>
        </w:rPr>
        <w:t xml:space="preserve"> Oktober 20</w:t>
      </w:r>
      <w:r>
        <w:rPr>
          <w:rFonts w:asciiTheme="minorHAnsi" w:hAnsiTheme="minorHAnsi" w:cstheme="minorHAnsi"/>
          <w:sz w:val="21"/>
          <w:szCs w:val="21"/>
        </w:rPr>
        <w:t>24</w:t>
      </w:r>
      <w:r w:rsidRPr="00EC6775">
        <w:rPr>
          <w:rFonts w:asciiTheme="minorHAnsi" w:hAnsiTheme="minorHAnsi" w:cstheme="minorHAnsi"/>
          <w:sz w:val="21"/>
          <w:szCs w:val="21"/>
        </w:rPr>
        <w:t xml:space="preserve"> </w:t>
      </w: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Gesuchstellerin: 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>Jenny Science AG, Sandblatte, Rain</w:t>
      </w:r>
    </w:p>
    <w:p w:rsidR="00375278" w:rsidRPr="00EC6775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Während der Auflagefrist kann jedermann schriftlich und begründet Anregungen unterbreiten oder Einwendungen erheben. Die Eingaben sind innerhalb der Dauer der Mitwirkung an den Gemeinderat Rain, </w:t>
      </w:r>
      <w:proofErr w:type="spellStart"/>
      <w:r>
        <w:rPr>
          <w:rFonts w:asciiTheme="minorHAnsi" w:hAnsiTheme="minorHAnsi" w:cstheme="minorHAnsi"/>
          <w:sz w:val="21"/>
          <w:szCs w:val="21"/>
        </w:rPr>
        <w:t>Dorfstrasse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22, 6026 Rain</w:t>
      </w:r>
      <w:r>
        <w:rPr>
          <w:rFonts w:asciiTheme="minorHAnsi" w:hAnsiTheme="minorHAnsi" w:cstheme="minorHAnsi"/>
          <w:sz w:val="21"/>
          <w:szCs w:val="21"/>
        </w:rPr>
        <w:t>, zu richten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Einsprachen können nicht im Rahmen des Mitwirkungsverfahrens, sondern erst bei der öffentlichen Planauflage erhoben werden. Diese erfolgt zu einem späteren Zeitpunkt, nach der kantonalen Vorprüfung.</w:t>
      </w:r>
    </w:p>
    <w:p w:rsidR="00375278" w:rsidRPr="00EC6775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  <w:r w:rsidRPr="00EC6775">
        <w:rPr>
          <w:rFonts w:asciiTheme="minorHAnsi" w:hAnsiTheme="minorHAnsi" w:cstheme="minorHAnsi"/>
          <w:sz w:val="21"/>
          <w:szCs w:val="21"/>
        </w:rPr>
        <w:t xml:space="preserve">Alle Mitwirkungsdokumente </w:t>
      </w:r>
      <w:r>
        <w:rPr>
          <w:rFonts w:asciiTheme="minorHAnsi" w:hAnsiTheme="minorHAnsi" w:cstheme="minorHAnsi"/>
          <w:sz w:val="21"/>
          <w:szCs w:val="21"/>
        </w:rPr>
        <w:t xml:space="preserve">liegen während der Dauer der öffentlichen Mitwirkung zur Einsichtnahme auf der Gemeindekanzlei Rain auf. Sie sind </w:t>
      </w:r>
      <w:r w:rsidRPr="00EC6775">
        <w:rPr>
          <w:rFonts w:asciiTheme="minorHAnsi" w:hAnsiTheme="minorHAnsi" w:cstheme="minorHAnsi"/>
          <w:sz w:val="21"/>
          <w:szCs w:val="21"/>
        </w:rPr>
        <w:t xml:space="preserve">auch im Internet </w:t>
      </w:r>
      <w:r>
        <w:rPr>
          <w:rFonts w:asciiTheme="minorHAnsi" w:hAnsiTheme="minorHAnsi" w:cstheme="minorHAnsi"/>
          <w:sz w:val="21"/>
          <w:szCs w:val="21"/>
        </w:rPr>
        <w:t xml:space="preserve">unter </w:t>
      </w:r>
      <w:hyperlink r:id="rId6" w:history="1">
        <w:r w:rsidRPr="00296086">
          <w:rPr>
            <w:rStyle w:val="Hyperlink"/>
            <w:rFonts w:asciiTheme="minorHAnsi" w:hAnsiTheme="minorHAnsi" w:cstheme="minorHAnsi"/>
            <w:sz w:val="21"/>
            <w:szCs w:val="21"/>
          </w:rPr>
          <w:t>www.rain.ch</w:t>
        </w:r>
      </w:hyperlink>
      <w:r w:rsidRPr="00296086">
        <w:rPr>
          <w:rFonts w:asciiTheme="minorHAnsi" w:hAnsiTheme="minorHAnsi" w:cstheme="minorHAnsi"/>
          <w:sz w:val="21"/>
          <w:szCs w:val="21"/>
        </w:rPr>
        <w:t xml:space="preserve"> </w:t>
      </w:r>
      <w:r w:rsidRPr="00EC6775">
        <w:rPr>
          <w:rFonts w:asciiTheme="minorHAnsi" w:hAnsiTheme="minorHAnsi" w:cstheme="minorHAnsi"/>
          <w:sz w:val="21"/>
          <w:szCs w:val="21"/>
        </w:rPr>
        <w:t>einsehbar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Default="00375278" w:rsidP="00375278">
      <w:pPr>
        <w:rPr>
          <w:rFonts w:asciiTheme="minorHAnsi" w:hAnsiTheme="minorHAnsi" w:cstheme="minorHAnsi"/>
          <w:sz w:val="21"/>
          <w:szCs w:val="21"/>
        </w:rPr>
      </w:pPr>
    </w:p>
    <w:p w:rsidR="00375278" w:rsidRPr="00EC6775" w:rsidRDefault="00375278" w:rsidP="00375278">
      <w:pPr>
        <w:tabs>
          <w:tab w:val="left" w:pos="567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Rain, 5. September 2024</w:t>
      </w:r>
      <w:r>
        <w:rPr>
          <w:rFonts w:asciiTheme="minorHAnsi" w:hAnsiTheme="minorHAnsi" w:cstheme="minorHAnsi"/>
          <w:sz w:val="21"/>
          <w:szCs w:val="21"/>
        </w:rPr>
        <w:tab/>
        <w:t>Gemeinderat Rain</w:t>
      </w:r>
    </w:p>
    <w:p w:rsidR="00207A3C" w:rsidRDefault="00207A3C"/>
    <w:sectPr w:rsidR="00207A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5463B"/>
    <w:multiLevelType w:val="hybridMultilevel"/>
    <w:tmpl w:val="B4EE7CFC"/>
    <w:lvl w:ilvl="0" w:tplc="64AC7B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8"/>
    <w:rsid w:val="00207A3C"/>
    <w:rsid w:val="00375278"/>
    <w:rsid w:val="008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A167E"/>
  <w15:chartTrackingRefBased/>
  <w15:docId w15:val="{275EC440-4A3E-487A-9801-8CF508D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Hyperlink1"/>
    <w:basedOn w:val="Absatz-Standardschriftart"/>
    <w:rsid w:val="00375278"/>
    <w:rPr>
      <w:color w:val="0000FF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375278"/>
    <w:pPr>
      <w:spacing w:after="200" w:line="276" w:lineRule="auto"/>
      <w:contextualSpacing/>
    </w:pPr>
    <w:rPr>
      <w:rFonts w:ascii="Calibri" w:eastAsia="Calibri" w:hAnsi="Calibri"/>
      <w:sz w:val="22"/>
      <w:szCs w:val="22"/>
      <w:lang w:val="de-CH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75278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2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278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Sidler Walter</dc:creator>
  <cp:keywords/>
  <dc:description/>
  <cp:lastModifiedBy>Sidler Walter</cp:lastModifiedBy>
  <cp:revision>1</cp:revision>
  <cp:lastPrinted>2024-09-05T06:10:00Z</cp:lastPrinted>
  <dcterms:created xsi:type="dcterms:W3CDTF">2024-09-05T06:02:00Z</dcterms:created>
  <dcterms:modified xsi:type="dcterms:W3CDTF">2024-09-05T17:50:00Z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c1bdcd3d-b888-4b81-af7b-4ba87081213a</vt:lpwstr>
  </property>
</Properties>
</file>